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EF" w:rsidRPr="006817E7" w:rsidRDefault="006817E7" w:rsidP="00E57DEF">
      <w:pPr>
        <w:spacing w:line="264" w:lineRule="auto"/>
        <w:jc w:val="center"/>
        <w:rPr>
          <w:rFonts w:cs="Times New Roman"/>
          <w:b/>
          <w:szCs w:val="24"/>
        </w:rPr>
      </w:pPr>
      <w:proofErr w:type="spellStart"/>
      <w:r>
        <w:rPr>
          <w:rFonts w:cs="Times New Roman"/>
          <w:b/>
          <w:szCs w:val="24"/>
        </w:rPr>
        <w:t>CrRLJ</w:t>
      </w:r>
      <w:proofErr w:type="spellEnd"/>
      <w:r w:rsidR="00E57DEF" w:rsidRPr="006817E7">
        <w:rPr>
          <w:rFonts w:cs="Times New Roman"/>
          <w:b/>
          <w:szCs w:val="24"/>
        </w:rPr>
        <w:t xml:space="preserve"> 2.1</w:t>
      </w:r>
    </w:p>
    <w:p w:rsidR="00E57DEF" w:rsidRPr="006817E7" w:rsidRDefault="00E57DEF" w:rsidP="00E57DEF">
      <w:pPr>
        <w:spacing w:line="264" w:lineRule="auto"/>
        <w:jc w:val="center"/>
        <w:rPr>
          <w:rFonts w:cs="Times New Roman"/>
          <w:b/>
          <w:szCs w:val="24"/>
        </w:rPr>
      </w:pPr>
      <w:r w:rsidRPr="006817E7">
        <w:rPr>
          <w:rFonts w:cs="Times New Roman"/>
          <w:b/>
          <w:szCs w:val="24"/>
        </w:rPr>
        <w:t>COMPLAINT--CITATION AND NOTICE</w:t>
      </w:r>
    </w:p>
    <w:p w:rsidR="00E57DEF" w:rsidRPr="006817E7" w:rsidRDefault="00E57DEF" w:rsidP="0011460E">
      <w:pPr>
        <w:spacing w:line="264" w:lineRule="auto"/>
        <w:rPr>
          <w:rFonts w:cs="Times New Roman"/>
          <w:szCs w:val="24"/>
        </w:rPr>
      </w:pPr>
      <w:bookmarkStart w:id="0" w:name="_GoBack"/>
      <w:bookmarkEnd w:id="0"/>
    </w:p>
    <w:p w:rsidR="00E57DEF" w:rsidRPr="006817E7" w:rsidRDefault="006817E7" w:rsidP="006817E7">
      <w:pPr>
        <w:pStyle w:val="ListParagraph"/>
        <w:widowControl w:val="0"/>
        <w:overflowPunct w:val="0"/>
        <w:autoSpaceDE w:val="0"/>
        <w:autoSpaceDN w:val="0"/>
        <w:adjustRightInd w:val="0"/>
        <w:spacing w:line="264" w:lineRule="auto"/>
        <w:ind w:left="0" w:firstLine="720"/>
        <w:rPr>
          <w:rFonts w:cs="Times New Roman"/>
          <w:szCs w:val="24"/>
        </w:rPr>
      </w:pPr>
      <w:r>
        <w:rPr>
          <w:rFonts w:cs="Times New Roman"/>
          <w:b/>
          <w:szCs w:val="24"/>
        </w:rPr>
        <w:t>(a)</w:t>
      </w:r>
      <w:proofErr w:type="gramStart"/>
      <w:r>
        <w:rPr>
          <w:rFonts w:cs="Times New Roman"/>
          <w:b/>
          <w:szCs w:val="24"/>
        </w:rPr>
        <w:t>–</w:t>
      </w:r>
      <w:r w:rsidR="00E57DEF" w:rsidRPr="006817E7">
        <w:rPr>
          <w:rFonts w:cs="Times New Roman"/>
          <w:b/>
          <w:szCs w:val="24"/>
        </w:rPr>
        <w:t>(</w:t>
      </w:r>
      <w:proofErr w:type="gramEnd"/>
      <w:r w:rsidR="00E57DEF" w:rsidRPr="006817E7">
        <w:rPr>
          <w:rFonts w:cs="Times New Roman"/>
          <w:b/>
          <w:szCs w:val="24"/>
        </w:rPr>
        <w:t xml:space="preserve">b) </w:t>
      </w:r>
      <w:r w:rsidR="00E57DEF" w:rsidRPr="006817E7">
        <w:rPr>
          <w:rFonts w:cs="Times New Roman"/>
          <w:szCs w:val="24"/>
        </w:rPr>
        <w:t>[</w:t>
      </w:r>
      <w:r>
        <w:rPr>
          <w:rFonts w:cs="Times New Roman"/>
          <w:szCs w:val="24"/>
        </w:rPr>
        <w:t>Unchanged.</w:t>
      </w:r>
      <w:r w:rsidR="00E57DEF" w:rsidRPr="006817E7">
        <w:rPr>
          <w:rFonts w:cs="Times New Roman"/>
          <w:szCs w:val="24"/>
        </w:rPr>
        <w:t>]</w:t>
      </w:r>
    </w:p>
    <w:p w:rsidR="00E57DEF" w:rsidRPr="006817E7" w:rsidRDefault="00E57DEF" w:rsidP="0011460E">
      <w:pPr>
        <w:widowControl w:val="0"/>
        <w:overflowPunct w:val="0"/>
        <w:autoSpaceDE w:val="0"/>
        <w:autoSpaceDN w:val="0"/>
        <w:adjustRightInd w:val="0"/>
        <w:spacing w:line="264" w:lineRule="auto"/>
        <w:rPr>
          <w:rFonts w:cs="Times New Roman"/>
          <w:szCs w:val="24"/>
        </w:rPr>
      </w:pPr>
    </w:p>
    <w:p w:rsidR="00E57DEF" w:rsidRPr="006817E7" w:rsidRDefault="00E57DEF" w:rsidP="006817E7">
      <w:pPr>
        <w:widowControl w:val="0"/>
        <w:overflowPunct w:val="0"/>
        <w:autoSpaceDE w:val="0"/>
        <w:autoSpaceDN w:val="0"/>
        <w:adjustRightInd w:val="0"/>
        <w:spacing w:line="264" w:lineRule="auto"/>
        <w:ind w:firstLine="720"/>
        <w:rPr>
          <w:rFonts w:cs="Times New Roman"/>
          <w:szCs w:val="24"/>
        </w:rPr>
      </w:pPr>
      <w:r w:rsidRPr="006817E7">
        <w:rPr>
          <w:rFonts w:cs="Times New Roman"/>
          <w:b/>
          <w:szCs w:val="24"/>
        </w:rPr>
        <w:t xml:space="preserve">(c) Citizen Complaints. </w:t>
      </w:r>
      <w:r w:rsidRPr="006817E7">
        <w:rPr>
          <w:rFonts w:cs="Times New Roman"/>
          <w:szCs w:val="24"/>
        </w:rPr>
        <w:t xml:space="preserve">Any person wishing to institute a criminal action alleging a misdemeanor or gross misdemeanor shall appear before a judge empowered to commit persons charged with offenses against the State, other than a judge pro tem.  The judge may require the appearance to be made on the </w:t>
      </w:r>
      <w:r w:rsidR="006817E7">
        <w:rPr>
          <w:rFonts w:cs="Times New Roman"/>
          <w:szCs w:val="24"/>
        </w:rPr>
        <w:t>record;</w:t>
      </w:r>
      <w:r w:rsidRPr="006817E7">
        <w:rPr>
          <w:rFonts w:cs="Times New Roman"/>
          <w:szCs w:val="24"/>
        </w:rPr>
        <w:t xml:space="preserve"> and under oath. The judge may consider any allegations on the basis of an affidavit sworn to before the judge. The court may also grant an opportunity at said hearing for evidence to be given by the county prosecuting attorney or deputy, the potential defendant or attorney of record, law enforcement</w:t>
      </w:r>
      <w:r w:rsidR="006817E7">
        <w:rPr>
          <w:rFonts w:cs="Times New Roman"/>
          <w:szCs w:val="24"/>
        </w:rPr>
        <w:t>,</w:t>
      </w:r>
      <w:r w:rsidRPr="006817E7">
        <w:rPr>
          <w:rFonts w:cs="Times New Roman"/>
          <w:szCs w:val="24"/>
        </w:rPr>
        <w:t xml:space="preserve"> or other potential witnesses.  The court may also require the presence of other potential witnesses.</w:t>
      </w:r>
    </w:p>
    <w:p w:rsidR="00E57DEF" w:rsidRPr="006817E7" w:rsidRDefault="00E57DEF" w:rsidP="006817E7">
      <w:pPr>
        <w:widowControl w:val="0"/>
        <w:overflowPunct w:val="0"/>
        <w:autoSpaceDE w:val="0"/>
        <w:autoSpaceDN w:val="0"/>
        <w:adjustRightInd w:val="0"/>
        <w:spacing w:line="264" w:lineRule="auto"/>
        <w:rPr>
          <w:rFonts w:cs="Times New Roman"/>
          <w:szCs w:val="24"/>
        </w:rPr>
      </w:pPr>
    </w:p>
    <w:p w:rsidR="00E57DEF" w:rsidRPr="006817E7" w:rsidRDefault="00E57DEF" w:rsidP="006817E7">
      <w:pPr>
        <w:widowControl w:val="0"/>
        <w:overflowPunct w:val="0"/>
        <w:autoSpaceDE w:val="0"/>
        <w:autoSpaceDN w:val="0"/>
        <w:adjustRightInd w:val="0"/>
        <w:spacing w:line="264" w:lineRule="auto"/>
        <w:ind w:firstLine="720"/>
        <w:rPr>
          <w:rFonts w:cs="Times New Roman"/>
          <w:szCs w:val="24"/>
        </w:rPr>
      </w:pPr>
      <w:r w:rsidRPr="006817E7">
        <w:rPr>
          <w:rFonts w:cs="Times New Roman"/>
          <w:szCs w:val="24"/>
        </w:rPr>
        <w:t>In addition to probable cause, the court may consider:</w:t>
      </w:r>
    </w:p>
    <w:p w:rsidR="00E57DEF" w:rsidRPr="006817E7" w:rsidRDefault="00E57DEF" w:rsidP="006817E7">
      <w:pPr>
        <w:widowControl w:val="0"/>
        <w:overflowPunct w:val="0"/>
        <w:autoSpaceDE w:val="0"/>
        <w:autoSpaceDN w:val="0"/>
        <w:adjustRightInd w:val="0"/>
        <w:spacing w:line="264" w:lineRule="auto"/>
        <w:rPr>
          <w:rFonts w:cs="Times New Roman"/>
          <w:szCs w:val="24"/>
        </w:rPr>
      </w:pPr>
    </w:p>
    <w:p w:rsidR="00E57DEF" w:rsidRPr="006817E7" w:rsidRDefault="006817E7" w:rsidP="006817E7">
      <w:pPr>
        <w:widowControl w:val="0"/>
        <w:overflowPunct w:val="0"/>
        <w:autoSpaceDE w:val="0"/>
        <w:autoSpaceDN w:val="0"/>
        <w:adjustRightInd w:val="0"/>
        <w:spacing w:line="264" w:lineRule="auto"/>
        <w:ind w:firstLine="720"/>
        <w:rPr>
          <w:rFonts w:cs="Times New Roman"/>
          <w:szCs w:val="24"/>
        </w:rPr>
      </w:pPr>
      <w:r>
        <w:rPr>
          <w:rFonts w:cs="Times New Roman"/>
          <w:szCs w:val="24"/>
        </w:rPr>
        <w:t>(1)</w:t>
      </w:r>
      <w:proofErr w:type="gramStart"/>
      <w:r>
        <w:rPr>
          <w:rFonts w:cs="Times New Roman"/>
          <w:szCs w:val="24"/>
        </w:rPr>
        <w:t>-(</w:t>
      </w:r>
      <w:proofErr w:type="gramEnd"/>
      <w:r>
        <w:rPr>
          <w:rFonts w:cs="Times New Roman"/>
          <w:szCs w:val="24"/>
        </w:rPr>
        <w:t>6) [Unchanged.]</w:t>
      </w:r>
    </w:p>
    <w:p w:rsidR="00E57DEF" w:rsidRPr="006817E7" w:rsidRDefault="00E57DEF" w:rsidP="006817E7">
      <w:pPr>
        <w:widowControl w:val="0"/>
        <w:overflowPunct w:val="0"/>
        <w:autoSpaceDE w:val="0"/>
        <w:autoSpaceDN w:val="0"/>
        <w:adjustRightInd w:val="0"/>
        <w:spacing w:line="264" w:lineRule="auto"/>
        <w:rPr>
          <w:rFonts w:cs="Times New Roman"/>
          <w:b/>
          <w:szCs w:val="24"/>
        </w:rPr>
      </w:pPr>
    </w:p>
    <w:p w:rsidR="00E57DEF" w:rsidRPr="006817E7" w:rsidRDefault="00E57DEF" w:rsidP="0011460E">
      <w:pPr>
        <w:widowControl w:val="0"/>
        <w:overflowPunct w:val="0"/>
        <w:autoSpaceDE w:val="0"/>
        <w:autoSpaceDN w:val="0"/>
        <w:adjustRightInd w:val="0"/>
        <w:spacing w:line="264" w:lineRule="auto"/>
        <w:ind w:firstLine="720"/>
        <w:rPr>
          <w:rFonts w:cs="Times New Roman"/>
          <w:szCs w:val="24"/>
        </w:rPr>
      </w:pPr>
      <w:r w:rsidRPr="006817E7">
        <w:rPr>
          <w:rFonts w:cs="Times New Roman"/>
          <w:szCs w:val="24"/>
        </w:rPr>
        <w:t xml:space="preserve">(7) Prosecution standards under </w:t>
      </w:r>
      <w:r w:rsidRPr="006817E7">
        <w:rPr>
          <w:rFonts w:cs="Times New Roman"/>
          <w:strike/>
          <w:szCs w:val="24"/>
        </w:rPr>
        <w:t>RCW 9.94A.440</w:t>
      </w:r>
      <w:r w:rsidRPr="006817E7">
        <w:rPr>
          <w:rFonts w:cs="Times New Roman"/>
          <w:szCs w:val="24"/>
        </w:rPr>
        <w:t xml:space="preserve"> </w:t>
      </w:r>
      <w:r w:rsidRPr="006817E7">
        <w:rPr>
          <w:rFonts w:cs="Times New Roman"/>
          <w:szCs w:val="24"/>
          <w:u w:val="single"/>
        </w:rPr>
        <w:t>RCW 9.94A.411</w:t>
      </w:r>
      <w:r w:rsidRPr="006817E7">
        <w:rPr>
          <w:rFonts w:cs="Times New Roman"/>
          <w:szCs w:val="24"/>
        </w:rPr>
        <w:t>.</w:t>
      </w:r>
    </w:p>
    <w:p w:rsidR="00E57DEF" w:rsidRDefault="00E57DEF" w:rsidP="006817E7">
      <w:pPr>
        <w:rPr>
          <w:rFonts w:cs="Times New Roman"/>
          <w:b/>
          <w:szCs w:val="24"/>
        </w:rPr>
      </w:pPr>
    </w:p>
    <w:p w:rsidR="006817E7" w:rsidRPr="006817E7" w:rsidRDefault="006817E7" w:rsidP="006817E7">
      <w:pPr>
        <w:ind w:firstLine="720"/>
        <w:rPr>
          <w:rFonts w:cs="Times New Roman"/>
          <w:b/>
          <w:szCs w:val="24"/>
        </w:rPr>
      </w:pPr>
      <w:r w:rsidRPr="006817E7">
        <w:rPr>
          <w:rStyle w:val="A0"/>
          <w:sz w:val="24"/>
          <w:szCs w:val="24"/>
        </w:rPr>
        <w:t xml:space="preserve">If the judge is satisfied that probable cause exists, and factors (1) through (7) justify filing charges, and that the complaining witness is aware of the gravity of initiating a criminal complaint, of the necessity of a court appearance or appearances for </w:t>
      </w:r>
      <w:r w:rsidRPr="006817E7">
        <w:rPr>
          <w:rStyle w:val="A1"/>
          <w:sz w:val="24"/>
          <w:szCs w:val="24"/>
        </w:rPr>
        <w:t xml:space="preserve">himself or herself </w:t>
      </w:r>
      <w:proofErr w:type="spellStart"/>
      <w:r w:rsidRPr="006817E7">
        <w:rPr>
          <w:rStyle w:val="A2"/>
          <w:sz w:val="24"/>
          <w:szCs w:val="24"/>
        </w:rPr>
        <w:t>themself</w:t>
      </w:r>
      <w:proofErr w:type="spellEnd"/>
      <w:r w:rsidRPr="006817E7">
        <w:rPr>
          <w:rStyle w:val="A2"/>
          <w:sz w:val="24"/>
          <w:szCs w:val="24"/>
        </w:rPr>
        <w:t xml:space="preserve"> </w:t>
      </w:r>
      <w:r w:rsidRPr="006817E7">
        <w:rPr>
          <w:rStyle w:val="A0"/>
          <w:sz w:val="24"/>
          <w:szCs w:val="24"/>
        </w:rPr>
        <w:t>and witness</w:t>
      </w:r>
      <w:r w:rsidRPr="006817E7">
        <w:rPr>
          <w:rStyle w:val="A0"/>
          <w:sz w:val="24"/>
          <w:szCs w:val="24"/>
        </w:rPr>
        <w:softHyphen/>
        <w:t>es, of the possible liability for false arrest and of the conse</w:t>
      </w:r>
      <w:r w:rsidRPr="006817E7">
        <w:rPr>
          <w:rStyle w:val="A0"/>
          <w:sz w:val="24"/>
          <w:szCs w:val="24"/>
        </w:rPr>
        <w:softHyphen/>
        <w:t xml:space="preserve">quences of perjury, the judge may authorize the citizen to sign and file a complaint </w:t>
      </w:r>
      <w:r>
        <w:rPr>
          <w:rStyle w:val="A0"/>
          <w:sz w:val="24"/>
          <w:szCs w:val="24"/>
        </w:rPr>
        <w:t xml:space="preserve">in the form prescribed in </w:t>
      </w:r>
      <w:proofErr w:type="spellStart"/>
      <w:r>
        <w:rPr>
          <w:rStyle w:val="A0"/>
          <w:sz w:val="24"/>
          <w:szCs w:val="24"/>
        </w:rPr>
        <w:t>CrRLJ</w:t>
      </w:r>
      <w:proofErr w:type="spellEnd"/>
      <w:r>
        <w:rPr>
          <w:rStyle w:val="A0"/>
          <w:sz w:val="24"/>
          <w:szCs w:val="24"/>
        </w:rPr>
        <w:t> </w:t>
      </w:r>
      <w:r w:rsidRPr="006817E7">
        <w:rPr>
          <w:rStyle w:val="A0"/>
          <w:sz w:val="24"/>
          <w:szCs w:val="24"/>
        </w:rPr>
        <w:t>2.1(a) The affidavit may be in substantially the following form:</w:t>
      </w:r>
    </w:p>
    <w:p w:rsidR="006817E7" w:rsidRDefault="006817E7" w:rsidP="006817E7">
      <w:pPr>
        <w:rPr>
          <w:rFonts w:cs="Times New Roman"/>
          <w:b/>
          <w:szCs w:val="24"/>
        </w:rPr>
      </w:pPr>
    </w:p>
    <w:p w:rsidR="006817E7" w:rsidRPr="006817E7" w:rsidRDefault="006817E7" w:rsidP="006817E7">
      <w:pPr>
        <w:ind w:firstLine="720"/>
        <w:rPr>
          <w:rFonts w:cs="Times New Roman"/>
          <w:szCs w:val="24"/>
        </w:rPr>
      </w:pPr>
      <w:r w:rsidRPr="006817E7">
        <w:rPr>
          <w:rFonts w:cs="Times New Roman"/>
          <w:szCs w:val="24"/>
        </w:rPr>
        <w:t>[Form Unchanged.]</w:t>
      </w:r>
    </w:p>
    <w:p w:rsidR="006817E7" w:rsidRPr="006817E7" w:rsidRDefault="006817E7" w:rsidP="006817E7">
      <w:pPr>
        <w:rPr>
          <w:rFonts w:cs="Times New Roman"/>
          <w:b/>
          <w:szCs w:val="24"/>
        </w:rPr>
      </w:pPr>
    </w:p>
    <w:p w:rsidR="00E57DEF" w:rsidRPr="006817E7" w:rsidRDefault="00E57DEF" w:rsidP="006817E7">
      <w:pPr>
        <w:ind w:firstLine="720"/>
        <w:rPr>
          <w:rFonts w:cs="Times New Roman"/>
        </w:rPr>
      </w:pPr>
      <w:r w:rsidRPr="006817E7">
        <w:rPr>
          <w:rFonts w:cs="Times New Roman"/>
          <w:b/>
          <w:szCs w:val="24"/>
        </w:rPr>
        <w:t xml:space="preserve">(d) </w:t>
      </w:r>
      <w:r w:rsidRPr="006817E7">
        <w:rPr>
          <w:rFonts w:cs="Times New Roman"/>
          <w:szCs w:val="24"/>
        </w:rPr>
        <w:tab/>
        <w:t>[</w:t>
      </w:r>
      <w:proofErr w:type="gramStart"/>
      <w:r w:rsidRPr="006817E7">
        <w:rPr>
          <w:rFonts w:cs="Times New Roman"/>
          <w:szCs w:val="24"/>
        </w:rPr>
        <w:t>no</w:t>
      </w:r>
      <w:proofErr w:type="gramEnd"/>
      <w:r w:rsidRPr="006817E7">
        <w:rPr>
          <w:rFonts w:cs="Times New Roman"/>
          <w:szCs w:val="24"/>
        </w:rPr>
        <w:t xml:space="preserve"> change]</w:t>
      </w:r>
    </w:p>
    <w:p w:rsidR="0071074A" w:rsidRPr="006817E7" w:rsidRDefault="0071074A" w:rsidP="006817E7">
      <w:pPr>
        <w:rPr>
          <w:rFonts w:cs="Times New Roman"/>
        </w:rPr>
      </w:pPr>
    </w:p>
    <w:sectPr w:rsidR="0071074A" w:rsidRPr="006817E7">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
    <w:altName w:val="NewCenturySchlb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E4" w:rsidRDefault="00114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515"/>
    <w:multiLevelType w:val="hybridMultilevel"/>
    <w:tmpl w:val="BC6E4164"/>
    <w:lvl w:ilvl="0" w:tplc="E9F61962">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EF"/>
    <w:rsid w:val="0011460E"/>
    <w:rsid w:val="006817E7"/>
    <w:rsid w:val="0071074A"/>
    <w:rsid w:val="00E5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88ECD-E255-4B90-B0C3-D4E057E4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DE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EF"/>
    <w:pPr>
      <w:ind w:left="720"/>
      <w:contextualSpacing/>
    </w:pPr>
  </w:style>
  <w:style w:type="paragraph" w:styleId="Header">
    <w:name w:val="header"/>
    <w:basedOn w:val="Normal"/>
    <w:link w:val="HeaderChar"/>
    <w:uiPriority w:val="99"/>
    <w:unhideWhenUsed/>
    <w:rsid w:val="00E57DEF"/>
    <w:pPr>
      <w:tabs>
        <w:tab w:val="center" w:pos="4680"/>
        <w:tab w:val="right" w:pos="9360"/>
      </w:tabs>
    </w:pPr>
  </w:style>
  <w:style w:type="character" w:customStyle="1" w:styleId="HeaderChar">
    <w:name w:val="Header Char"/>
    <w:basedOn w:val="DefaultParagraphFont"/>
    <w:link w:val="Header"/>
    <w:uiPriority w:val="99"/>
    <w:rsid w:val="00E57DEF"/>
    <w:rPr>
      <w:rFonts w:ascii="Times New Roman" w:hAnsi="Times New Roman"/>
      <w:sz w:val="24"/>
    </w:rPr>
  </w:style>
  <w:style w:type="character" w:customStyle="1" w:styleId="A0">
    <w:name w:val="A0"/>
    <w:uiPriority w:val="99"/>
    <w:rsid w:val="006817E7"/>
    <w:rPr>
      <w:rFonts w:cs="NewCenturySchlbk"/>
      <w:color w:val="211D1E"/>
      <w:sz w:val="22"/>
      <w:szCs w:val="22"/>
    </w:rPr>
  </w:style>
  <w:style w:type="character" w:customStyle="1" w:styleId="A1">
    <w:name w:val="A1"/>
    <w:uiPriority w:val="99"/>
    <w:rsid w:val="006817E7"/>
    <w:rPr>
      <w:rFonts w:cs="NewCenturySchlbk"/>
      <w:strike/>
      <w:color w:val="211D1E"/>
      <w:sz w:val="22"/>
      <w:szCs w:val="22"/>
    </w:rPr>
  </w:style>
  <w:style w:type="character" w:customStyle="1" w:styleId="A2">
    <w:name w:val="A2"/>
    <w:uiPriority w:val="99"/>
    <w:rsid w:val="006817E7"/>
    <w:rPr>
      <w:rFonts w:cs="NewCenturySchlbk"/>
      <w:color w:val="211D1E"/>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3</cp:revision>
  <dcterms:created xsi:type="dcterms:W3CDTF">2022-01-24T23:05:00Z</dcterms:created>
  <dcterms:modified xsi:type="dcterms:W3CDTF">2022-01-24T23:10:00Z</dcterms:modified>
</cp:coreProperties>
</file>